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EC626A" w:rsidRPr="0029605F" w:rsidRDefault="00EC626A" w:rsidP="00EC626A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 xml:space="preserve">Pojištění exponátů během výstavy </w:t>
      </w:r>
    </w:p>
    <w:p w:rsidR="00EC626A" w:rsidRPr="00AF3E2C" w:rsidRDefault="00EC626A" w:rsidP="00EC626A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50"/>
        <w:gridCol w:w="6104"/>
      </w:tblGrid>
      <w:tr w:rsidR="00EC626A" w:rsidRPr="00A156E2" w:rsidTr="00EC626A">
        <w:trPr>
          <w:trHeight w:val="255"/>
          <w:tblHeader/>
        </w:trPr>
        <w:tc>
          <w:tcPr>
            <w:tcW w:w="5000" w:type="pct"/>
            <w:gridSpan w:val="2"/>
            <w:vMerge w:val="restart"/>
            <w:tcBorders>
              <w:bottom w:val="single" w:sz="18" w:space="0" w:color="DBDCDD"/>
            </w:tcBorders>
            <w:shd w:val="clear" w:color="auto" w:fill="283164"/>
          </w:tcPr>
          <w:p w:rsidR="00EC626A" w:rsidRPr="00A156E2" w:rsidRDefault="00EC626A" w:rsidP="00EC626A">
            <w:pPr>
              <w:pStyle w:val="TabulkaNL"/>
              <w:rPr>
                <w:rFonts w:cs="Arial"/>
                <w:b w:val="0"/>
              </w:rPr>
            </w:pPr>
            <w:r w:rsidRPr="00A156E2">
              <w:t>Předmět pojištění</w:t>
            </w:r>
          </w:p>
        </w:tc>
      </w:tr>
      <w:tr w:rsidR="00EC626A" w:rsidRPr="00A156E2" w:rsidTr="00EC626A">
        <w:trPr>
          <w:trHeight w:val="255"/>
          <w:tblHeader/>
        </w:trPr>
        <w:tc>
          <w:tcPr>
            <w:tcW w:w="5000" w:type="pct"/>
            <w:gridSpan w:val="2"/>
            <w:vMerge/>
            <w:tcBorders>
              <w:top w:val="single" w:sz="18" w:space="0" w:color="DBDCDD"/>
            </w:tcBorders>
            <w:shd w:val="clear" w:color="auto" w:fill="283164"/>
            <w:vAlign w:val="center"/>
          </w:tcPr>
          <w:p w:rsidR="00EC626A" w:rsidRPr="00A156E2" w:rsidRDefault="00EC626A" w:rsidP="00EC626A">
            <w:pPr>
              <w:pStyle w:val="TabulkaTL"/>
              <w:rPr>
                <w:rFonts w:cs="Arial"/>
                <w:b/>
                <w:color w:val="FFFFFF"/>
              </w:rPr>
            </w:pPr>
          </w:p>
        </w:tc>
      </w:tr>
      <w:tr w:rsidR="00EC626A" w:rsidRPr="00A156E2" w:rsidTr="00EC626A">
        <w:trPr>
          <w:trHeight w:val="272"/>
        </w:trPr>
        <w:tc>
          <w:tcPr>
            <w:tcW w:w="1903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A156E2" w:rsidRDefault="00EC626A" w:rsidP="00EC626A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a cizích </w:t>
            </w:r>
            <w:r>
              <w:rPr>
                <w:rFonts w:cs="Arial"/>
              </w:rPr>
              <w:t>exponátů</w:t>
            </w:r>
          </w:p>
        </w:tc>
        <w:tc>
          <w:tcPr>
            <w:tcW w:w="3097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A156E2" w:rsidRDefault="00EC626A" w:rsidP="000E3DAB">
            <w:pPr>
              <w:pStyle w:val="TabulkaTL"/>
              <w:jc w:val="both"/>
              <w:rPr>
                <w:rFonts w:cs="Arial"/>
              </w:rPr>
            </w:pPr>
            <w:r>
              <w:rPr>
                <w:rFonts w:cs="Arial"/>
              </w:rPr>
              <w:t>Vystavované věci charakteru uměleckého díla, která jsou ve vlastnictví statutárního města Karviná nebo třetích osob a statutární město Karviná je užívá na základě smluvního vztahu za účelem provedení výstavy</w:t>
            </w:r>
          </w:p>
        </w:tc>
      </w:tr>
    </w:tbl>
    <w:p w:rsidR="00EC626A" w:rsidRPr="00341F53" w:rsidRDefault="00EC626A" w:rsidP="00EC626A">
      <w:pPr>
        <w:pStyle w:val="TabulkaTL"/>
        <w:rPr>
          <w:szCs w:val="16"/>
          <w:highlight w:val="green"/>
        </w:rPr>
      </w:pPr>
    </w:p>
    <w:p w:rsidR="00EC626A" w:rsidRPr="00866600" w:rsidRDefault="00EC626A" w:rsidP="00EC626A">
      <w:pPr>
        <w:pStyle w:val="Nadpis4"/>
        <w:spacing w:before="0"/>
      </w:pPr>
      <w:r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8"/>
        <w:gridCol w:w="3411"/>
        <w:gridCol w:w="2969"/>
      </w:tblGrid>
      <w:tr w:rsidR="00EC626A" w:rsidRPr="001214FD" w:rsidTr="0029605F">
        <w:trPr>
          <w:trHeight w:hRule="exact" w:val="228"/>
          <w:tblHeader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407873" w:rsidRDefault="00EC626A" w:rsidP="00EC626A">
            <w:pPr>
              <w:pStyle w:val="TabulkaNL"/>
            </w:pPr>
            <w:r w:rsidRPr="00341F53">
              <w:br w:type="page"/>
            </w:r>
            <w:r w:rsidRPr="00407873">
              <w:t> </w:t>
            </w: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407873" w:rsidRDefault="00EC626A" w:rsidP="00EC626A">
            <w:pPr>
              <w:pStyle w:val="TabulkaN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1214FD" w:rsidRDefault="00EC626A" w:rsidP="00EC626A">
            <w:pPr>
              <w:pStyle w:val="TabulkaNL"/>
            </w:pPr>
            <w:r w:rsidRPr="001214FD">
              <w:t>Varianta I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tcBorders>
              <w:top w:val="nil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Kompletní živel</w:t>
            </w:r>
            <w:r>
              <w:br/>
            </w:r>
            <w:r w:rsidRPr="001214FD">
              <w:t>Krádež, loupež</w:t>
            </w:r>
          </w:p>
        </w:tc>
        <w:tc>
          <w:tcPr>
            <w:tcW w:w="1518" w:type="pct"/>
            <w:tcBorders>
              <w:top w:val="nil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Limity plnění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Živelní nebezpečí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905EBF" w:rsidP="00EC626A">
            <w:pPr>
              <w:pStyle w:val="TabulkaTR"/>
            </w:pPr>
            <w:r>
              <w:t>1</w:t>
            </w:r>
            <w:r w:rsidR="00EC626A">
              <w:t xml:space="preserve"> 000 000 </w:t>
            </w: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905EBF" w:rsidP="00EC626A">
            <w:pPr>
              <w:pStyle w:val="TabulkaTR"/>
            </w:pPr>
            <w:r>
              <w:t>1</w:t>
            </w:r>
            <w:r w:rsidR="00EC626A">
              <w:t xml:space="preserve"> 000 000 </w:t>
            </w: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 xml:space="preserve">Přeprava 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Default="00EC626A" w:rsidP="00EC626A">
            <w:pPr>
              <w:pStyle w:val="TabulkaTR"/>
            </w:pPr>
            <w:r>
              <w:t xml:space="preserve">1 000 000 </w:t>
            </w: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Spoluúčasti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Živelní nebezpečí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 xml:space="preserve">Přeprava </w:t>
            </w:r>
          </w:p>
        </w:tc>
        <w:tc>
          <w:tcPr>
            <w:tcW w:w="1518" w:type="pct"/>
            <w:vMerge/>
            <w:tcBorders>
              <w:left w:val="single" w:sz="18" w:space="0" w:color="DBDCDD"/>
              <w:bottom w:val="nil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Vandalismus</w:t>
            </w: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0E3DAB">
            <w:pPr>
              <w:pStyle w:val="TabulkaTL"/>
            </w:pPr>
            <w:r w:rsidRPr="001214FD">
              <w:t xml:space="preserve">Vandalismus </w:t>
            </w:r>
            <w:r w:rsidRPr="001214FD">
              <w:br/>
              <w:t>– zjištěný i nezjištěný pachatel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 xml:space="preserve">Agregovaná pojistná částka (Kč) – první riziko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000 000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Limity plnění (Kč)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Škody způsobené sprejery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>
              <w:t>2</w:t>
            </w:r>
            <w:r w:rsidRPr="001214FD">
              <w:t>00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EC626A" w:rsidRPr="002E4414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Spoluúčast (Kč)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>
              <w:t>1 </w:t>
            </w:r>
            <w:r w:rsidRPr="001214FD">
              <w:t>000</w:t>
            </w:r>
            <w:r>
              <w:t xml:space="preserve"> </w:t>
            </w:r>
          </w:p>
        </w:tc>
      </w:tr>
    </w:tbl>
    <w:p w:rsidR="00EC626A" w:rsidRPr="00341F53" w:rsidRDefault="00EC626A" w:rsidP="00EC626A">
      <w:pPr>
        <w:pStyle w:val="TabulkaTL"/>
        <w:rPr>
          <w:szCs w:val="16"/>
          <w:highlight w:val="green"/>
        </w:rPr>
      </w:pPr>
    </w:p>
    <w:p w:rsidR="00EC626A" w:rsidRDefault="00EC626A" w:rsidP="00EC626A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51"/>
        <w:gridCol w:w="1727"/>
      </w:tblGrid>
      <w:tr w:rsidR="00EC626A" w:rsidRPr="00ED6B69" w:rsidTr="00EC626A">
        <w:trPr>
          <w:trHeight w:val="255"/>
        </w:trPr>
        <w:tc>
          <w:tcPr>
            <w:tcW w:w="4117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883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R"/>
            </w:pPr>
            <w:r w:rsidRPr="00ED6B69">
              <w:t xml:space="preserve">Limit plnění 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R"/>
              <w:jc w:val="left"/>
            </w:pPr>
            <w:r w:rsidRPr="00ED6B69">
              <w:t>Katastrální území statutárního města Karviná</w:t>
            </w:r>
          </w:p>
        </w:tc>
        <w:tc>
          <w:tcPr>
            <w:tcW w:w="883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 w:rsidRPr="00ED6B69"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L"/>
            </w:pPr>
            <w:r>
              <w:t>Městský dům kultury, tř. Osvobození 1639/43, Karviná – Nové Město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9B1BE3" w:rsidRDefault="00EC626A" w:rsidP="00EC626A">
            <w:pPr>
              <w:pStyle w:val="TabulkaTR"/>
            </w:pPr>
            <w:r w:rsidRPr="009B1BE3"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L"/>
            </w:pPr>
            <w:r>
              <w:t>Městské informační centrum při Regionální knihovně Karviná, Masarykovo nám.71, Karviná - Fryštát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Default="00EC626A" w:rsidP="00EC626A">
            <w:pPr>
              <w:pStyle w:val="TabulkaTL"/>
            </w:pPr>
            <w:r>
              <w:t>Území ČR - přeprava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Default="00EC626A" w:rsidP="00EC626A">
            <w:pPr>
              <w:pStyle w:val="TabulkaTR"/>
            </w:pPr>
            <w:r>
              <w:t>-</w:t>
            </w:r>
          </w:p>
        </w:tc>
      </w:tr>
    </w:tbl>
    <w:p w:rsidR="00EC626A" w:rsidRDefault="00EC626A" w:rsidP="00EC626A">
      <w:pPr>
        <w:pStyle w:val="Nadpis4"/>
      </w:pPr>
    </w:p>
    <w:sectPr w:rsidR="00EC626A" w:rsidSect="00007B34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D5" w:rsidRDefault="003239D5" w:rsidP="004F5014">
      <w:pPr>
        <w:spacing w:line="240" w:lineRule="auto"/>
      </w:pPr>
      <w:r>
        <w:separator/>
      </w:r>
    </w:p>
  </w:endnote>
  <w:endnote w:type="continuationSeparator" w:id="0">
    <w:p w:rsidR="003239D5" w:rsidRDefault="003239D5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392978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Pr="00007B34" w:rsidRDefault="003239D5" w:rsidP="00007B34">
            <w:pPr>
              <w:pStyle w:val="Zpat"/>
              <w:pBdr>
                <w:top w:val="single" w:sz="4" w:space="1" w:color="auto"/>
              </w:pBdr>
              <w:jc w:val="center"/>
              <w:rPr>
                <w:sz w:val="20"/>
              </w:rPr>
            </w:pPr>
            <w:r w:rsidRPr="00007B34">
              <w:rPr>
                <w:sz w:val="20"/>
              </w:rPr>
              <w:t xml:space="preserve">Stránka </w:t>
            </w:r>
            <w:r w:rsidR="00B91804" w:rsidRPr="00007B34">
              <w:rPr>
                <w:b/>
                <w:sz w:val="20"/>
              </w:rPr>
              <w:fldChar w:fldCharType="begin"/>
            </w:r>
            <w:r w:rsidRPr="00007B34">
              <w:rPr>
                <w:b/>
                <w:sz w:val="20"/>
              </w:rPr>
              <w:instrText>PAGE</w:instrText>
            </w:r>
            <w:r w:rsidR="00B91804" w:rsidRPr="00007B34">
              <w:rPr>
                <w:b/>
                <w:sz w:val="20"/>
              </w:rPr>
              <w:fldChar w:fldCharType="separate"/>
            </w:r>
            <w:r w:rsidR="00007B34">
              <w:rPr>
                <w:b/>
                <w:noProof/>
                <w:sz w:val="20"/>
              </w:rPr>
              <w:t>1</w:t>
            </w:r>
            <w:r w:rsidR="00B91804" w:rsidRPr="00007B34">
              <w:rPr>
                <w:b/>
                <w:sz w:val="20"/>
              </w:rPr>
              <w:fldChar w:fldCharType="end"/>
            </w:r>
            <w:r w:rsidRPr="00007B34">
              <w:rPr>
                <w:sz w:val="20"/>
              </w:rPr>
              <w:t xml:space="preserve"> z </w:t>
            </w:r>
            <w:r w:rsidR="00B91804" w:rsidRPr="00007B34">
              <w:rPr>
                <w:b/>
                <w:sz w:val="20"/>
              </w:rPr>
              <w:fldChar w:fldCharType="begin"/>
            </w:r>
            <w:r w:rsidRPr="00007B34">
              <w:rPr>
                <w:b/>
                <w:sz w:val="20"/>
              </w:rPr>
              <w:instrText>NUMPAGES</w:instrText>
            </w:r>
            <w:r w:rsidR="00B91804" w:rsidRPr="00007B34">
              <w:rPr>
                <w:b/>
                <w:sz w:val="20"/>
              </w:rPr>
              <w:fldChar w:fldCharType="separate"/>
            </w:r>
            <w:r w:rsidR="00007B34">
              <w:rPr>
                <w:b/>
                <w:noProof/>
                <w:sz w:val="20"/>
              </w:rPr>
              <w:t>1</w:t>
            </w:r>
            <w:r w:rsidR="00B91804" w:rsidRPr="00007B34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D5" w:rsidRDefault="003239D5" w:rsidP="004F5014">
      <w:pPr>
        <w:spacing w:line="240" w:lineRule="auto"/>
      </w:pPr>
      <w:r>
        <w:separator/>
      </w:r>
    </w:p>
  </w:footnote>
  <w:footnote w:type="continuationSeparator" w:id="0">
    <w:p w:rsidR="003239D5" w:rsidRDefault="003239D5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D5" w:rsidRDefault="002F526B" w:rsidP="004F5014">
    <w:pPr>
      <w:pStyle w:val="Zhlav"/>
      <w:jc w:val="right"/>
      <w:rPr>
        <w:sz w:val="20"/>
      </w:rPr>
    </w:pPr>
    <w:r w:rsidRPr="00007B34">
      <w:rPr>
        <w:sz w:val="20"/>
      </w:rPr>
      <w:t>Příloha č.4</w:t>
    </w:r>
  </w:p>
  <w:p w:rsidR="00007B34" w:rsidRPr="00007B34" w:rsidRDefault="00007B34" w:rsidP="00007B34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Pojištění exponátů během výstavy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014"/>
    <w:rsid w:val="00003285"/>
    <w:rsid w:val="00007B34"/>
    <w:rsid w:val="000E365F"/>
    <w:rsid w:val="000E3DAB"/>
    <w:rsid w:val="000F6949"/>
    <w:rsid w:val="00127BE9"/>
    <w:rsid w:val="0015110A"/>
    <w:rsid w:val="001A6F0E"/>
    <w:rsid w:val="0025110D"/>
    <w:rsid w:val="00256F10"/>
    <w:rsid w:val="002776E5"/>
    <w:rsid w:val="0029605F"/>
    <w:rsid w:val="002A5DBA"/>
    <w:rsid w:val="002E1918"/>
    <w:rsid w:val="002F526B"/>
    <w:rsid w:val="00317016"/>
    <w:rsid w:val="003239D5"/>
    <w:rsid w:val="003507BA"/>
    <w:rsid w:val="00387640"/>
    <w:rsid w:val="003B17E5"/>
    <w:rsid w:val="003D4888"/>
    <w:rsid w:val="004340BD"/>
    <w:rsid w:val="00497D94"/>
    <w:rsid w:val="004A5503"/>
    <w:rsid w:val="004F5014"/>
    <w:rsid w:val="00531461"/>
    <w:rsid w:val="005C2DCE"/>
    <w:rsid w:val="005D54E4"/>
    <w:rsid w:val="005F74B3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C09D9"/>
    <w:rsid w:val="00AE02FA"/>
    <w:rsid w:val="00B538D3"/>
    <w:rsid w:val="00B91804"/>
    <w:rsid w:val="00B94A58"/>
    <w:rsid w:val="00BC3F1E"/>
    <w:rsid w:val="00BC4B83"/>
    <w:rsid w:val="00C97F82"/>
    <w:rsid w:val="00CC1902"/>
    <w:rsid w:val="00D05845"/>
    <w:rsid w:val="00D21E52"/>
    <w:rsid w:val="00D22B8F"/>
    <w:rsid w:val="00D523F3"/>
    <w:rsid w:val="00D7148D"/>
    <w:rsid w:val="00DD609B"/>
    <w:rsid w:val="00DF4ED5"/>
    <w:rsid w:val="00E228C9"/>
    <w:rsid w:val="00E351A0"/>
    <w:rsid w:val="00EC626A"/>
    <w:rsid w:val="00F200B0"/>
    <w:rsid w:val="00F451A9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4083FC2"/>
  <w15:docId w15:val="{07E45D9B-F58D-43A1-95E1-92D1021B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AE811-44EF-44C7-BBAB-D0562A9E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Urbanek Dusan</cp:lastModifiedBy>
  <cp:revision>12</cp:revision>
  <dcterms:created xsi:type="dcterms:W3CDTF">2011-08-22T12:33:00Z</dcterms:created>
  <dcterms:modified xsi:type="dcterms:W3CDTF">2016-07-08T14:36:00Z</dcterms:modified>
</cp:coreProperties>
</file>